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390F43" w:rsidRDefault="002210A8">
      <w:pPr>
        <w:jc w:val="center"/>
        <w:rPr>
          <w:rFonts w:ascii="方正小标宋简体" w:eastAsia="方正小标宋简体" w:hAnsi="华文中宋"/>
          <w:bCs/>
          <w:sz w:val="44"/>
          <w:szCs w:val="44"/>
        </w:rPr>
      </w:pPr>
      <w:r w:rsidRPr="00390F43">
        <w:rPr>
          <w:rFonts w:ascii="方正小标宋简体" w:eastAsia="方正小标宋简体" w:hAnsi="华文中宋" w:hint="eastAsia"/>
          <w:bCs/>
          <w:sz w:val="44"/>
          <w:szCs w:val="44"/>
        </w:rPr>
        <w:t>标的物介绍</w:t>
      </w:r>
    </w:p>
    <w:p w14:paraId="4CDA034A" w14:textId="4C079A79" w:rsidR="007E32C8" w:rsidRPr="00CE0CED" w:rsidRDefault="005E4B83">
      <w:pPr>
        <w:rPr>
          <w:rFonts w:ascii="黑体" w:eastAsia="黑体" w:hAnsi="黑体"/>
          <w:b/>
          <w:bCs/>
          <w:sz w:val="32"/>
          <w:szCs w:val="32"/>
        </w:rPr>
      </w:pPr>
      <w:r w:rsidRPr="00CE0CED">
        <w:rPr>
          <w:rFonts w:ascii="黑体" w:eastAsia="黑体" w:hAnsi="黑体" w:hint="eastAsia"/>
          <w:b/>
          <w:bCs/>
          <w:sz w:val="32"/>
          <w:szCs w:val="32"/>
        </w:rPr>
        <w:t>一、基本情况</w:t>
      </w:r>
    </w:p>
    <w:p w14:paraId="083BA3EE" w14:textId="05A1CA08" w:rsidR="00760CAB" w:rsidRPr="00390F43" w:rsidRDefault="002422AC" w:rsidP="007D084C">
      <w:pPr>
        <w:spacing w:line="360" w:lineRule="auto"/>
        <w:ind w:firstLineChars="252" w:firstLine="810"/>
        <w:rPr>
          <w:rFonts w:ascii="仿宋_GB2312" w:eastAsia="仿宋_GB2312" w:hAnsi="仿宋"/>
          <w:sz w:val="32"/>
          <w:szCs w:val="32"/>
        </w:rPr>
      </w:pPr>
      <w:bookmarkStart w:id="0" w:name="_Hlk89712118"/>
      <w:r w:rsidRPr="002422AC">
        <w:rPr>
          <w:rFonts w:ascii="仿宋_GB2312" w:eastAsia="仿宋_GB2312" w:hAnsi="仿宋" w:hint="eastAsia"/>
          <w:b/>
          <w:bCs/>
          <w:sz w:val="32"/>
          <w:szCs w:val="32"/>
          <w:u w:val="single"/>
        </w:rPr>
        <w:t>广东振戎能源有限公司等</w:t>
      </w:r>
      <w:r w:rsidRPr="002422AC">
        <w:rPr>
          <w:rFonts w:ascii="仿宋_GB2312" w:eastAsia="仿宋_GB2312" w:hAnsi="仿宋"/>
          <w:b/>
          <w:bCs/>
          <w:sz w:val="32"/>
          <w:szCs w:val="32"/>
          <w:u w:val="single"/>
        </w:rPr>
        <w:t>2户不良债权</w:t>
      </w:r>
      <w:r w:rsidR="00287A31" w:rsidRPr="00390F43">
        <w:rPr>
          <w:rFonts w:ascii="仿宋_GB2312" w:eastAsia="仿宋_GB2312" w:hAnsi="仿宋" w:hint="eastAsia"/>
          <w:sz w:val="32"/>
          <w:szCs w:val="32"/>
          <w:u w:val="single"/>
        </w:rPr>
        <w:t>（下称“标的债权”），</w:t>
      </w:r>
      <w:r w:rsidR="00287A31" w:rsidRPr="00390F43">
        <w:rPr>
          <w:rFonts w:ascii="仿宋_GB2312" w:eastAsia="仿宋_GB2312" w:hAnsi="仿宋" w:hint="eastAsia"/>
          <w:sz w:val="32"/>
          <w:szCs w:val="32"/>
        </w:rPr>
        <w:t>截至基准日</w:t>
      </w:r>
      <w:r w:rsidRPr="002422AC">
        <w:rPr>
          <w:rFonts w:ascii="仿宋_GB2312" w:eastAsia="仿宋_GB2312" w:hAnsi="仿宋"/>
          <w:sz w:val="32"/>
          <w:szCs w:val="32"/>
          <w:u w:val="single"/>
        </w:rPr>
        <w:t>2025</w:t>
      </w:r>
      <w:r w:rsidRPr="002422AC">
        <w:rPr>
          <w:rFonts w:ascii="仿宋_GB2312" w:eastAsia="仿宋_GB2312" w:hAnsi="仿宋"/>
          <w:sz w:val="32"/>
          <w:szCs w:val="32"/>
        </w:rPr>
        <w:t>年</w:t>
      </w:r>
      <w:r w:rsidRPr="002422AC">
        <w:rPr>
          <w:rFonts w:ascii="仿宋_GB2312" w:eastAsia="仿宋_GB2312" w:hAnsi="仿宋"/>
          <w:sz w:val="32"/>
          <w:szCs w:val="32"/>
          <w:u w:val="single"/>
        </w:rPr>
        <w:t>9</w:t>
      </w:r>
      <w:r w:rsidRPr="002422AC">
        <w:rPr>
          <w:rFonts w:ascii="仿宋_GB2312" w:eastAsia="仿宋_GB2312" w:hAnsi="仿宋"/>
          <w:sz w:val="32"/>
          <w:szCs w:val="32"/>
        </w:rPr>
        <w:t>月</w:t>
      </w:r>
      <w:r w:rsidRPr="002422AC">
        <w:rPr>
          <w:rFonts w:ascii="仿宋_GB2312" w:eastAsia="仿宋_GB2312" w:hAnsi="仿宋"/>
          <w:sz w:val="32"/>
          <w:szCs w:val="32"/>
          <w:u w:val="single"/>
        </w:rPr>
        <w:t>30</w:t>
      </w:r>
      <w:r w:rsidRPr="002422AC">
        <w:rPr>
          <w:rFonts w:ascii="仿宋_GB2312" w:eastAsia="仿宋_GB2312" w:hAnsi="仿宋"/>
          <w:sz w:val="32"/>
          <w:szCs w:val="32"/>
        </w:rPr>
        <w:t>日</w:t>
      </w:r>
      <w:r w:rsidR="00287A31" w:rsidRPr="00390F43">
        <w:rPr>
          <w:rFonts w:ascii="仿宋_GB2312" w:eastAsia="仿宋_GB2312" w:hAnsi="仿宋" w:hint="eastAsia"/>
          <w:sz w:val="32"/>
          <w:szCs w:val="32"/>
        </w:rPr>
        <w:t>，</w:t>
      </w:r>
      <w:r w:rsidR="00F76F6F" w:rsidRPr="00390F43">
        <w:rPr>
          <w:rFonts w:ascii="仿宋_GB2312" w:eastAsia="仿宋_GB2312" w:hAnsi="仿宋" w:hint="eastAsia"/>
          <w:sz w:val="32"/>
          <w:szCs w:val="32"/>
        </w:rPr>
        <w:t>标的债权本金合计</w:t>
      </w:r>
      <w:r w:rsidRPr="002422AC">
        <w:rPr>
          <w:rFonts w:ascii="仿宋_GB2312" w:eastAsia="仿宋_GB2312" w:hAnsi="仿宋"/>
          <w:sz w:val="32"/>
          <w:szCs w:val="32"/>
          <w:u w:val="single"/>
        </w:rPr>
        <w:t xml:space="preserve">64,839.69 </w:t>
      </w:r>
      <w:r w:rsidR="00760CAB" w:rsidRPr="00390F43">
        <w:rPr>
          <w:rFonts w:ascii="仿宋_GB2312" w:eastAsia="仿宋_GB2312" w:hAnsi="仿宋" w:hint="eastAsia"/>
          <w:sz w:val="32"/>
          <w:szCs w:val="32"/>
        </w:rPr>
        <w:t>万</w:t>
      </w:r>
      <w:r w:rsidR="00F76F6F" w:rsidRPr="00390F43">
        <w:rPr>
          <w:rFonts w:ascii="仿宋_GB2312" w:eastAsia="仿宋_GB2312" w:hAnsi="仿宋" w:hint="eastAsia"/>
          <w:sz w:val="32"/>
          <w:szCs w:val="32"/>
        </w:rPr>
        <w:t>元。</w:t>
      </w:r>
      <w:bookmarkEnd w:id="0"/>
      <w:r w:rsidR="00287A31" w:rsidRPr="00390F43">
        <w:rPr>
          <w:rFonts w:ascii="仿宋_GB2312" w:eastAsia="仿宋_GB2312" w:hAnsi="仿宋" w:hint="eastAsia"/>
          <w:sz w:val="32"/>
          <w:szCs w:val="32"/>
        </w:rPr>
        <w:t>具体情况如下：</w:t>
      </w:r>
    </w:p>
    <w:p w14:paraId="6344DB2B" w14:textId="1409ADF4" w:rsidR="00FE70EB" w:rsidRPr="00390F43" w:rsidRDefault="00FE70EB" w:rsidP="00FE70EB">
      <w:pPr>
        <w:spacing w:line="360" w:lineRule="auto"/>
        <w:jc w:val="right"/>
        <w:rPr>
          <w:rFonts w:ascii="仿宋_GB2312" w:eastAsia="仿宋_GB2312" w:hAnsi="仿宋"/>
          <w:sz w:val="32"/>
          <w:szCs w:val="32"/>
        </w:rPr>
      </w:pPr>
      <w:r w:rsidRPr="00390F43">
        <w:rPr>
          <w:rFonts w:ascii="仿宋_GB2312" w:eastAsia="仿宋_GB2312" w:hAnsi="仿宋" w:hint="eastAsia"/>
          <w:sz w:val="32"/>
          <w:szCs w:val="32"/>
        </w:rPr>
        <w:t>单位：人民币/万元</w:t>
      </w:r>
    </w:p>
    <w:tbl>
      <w:tblPr>
        <w:tblW w:w="62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705"/>
        <w:gridCol w:w="1293"/>
        <w:gridCol w:w="1296"/>
        <w:gridCol w:w="1296"/>
        <w:gridCol w:w="1416"/>
        <w:gridCol w:w="2114"/>
        <w:gridCol w:w="1472"/>
        <w:gridCol w:w="762"/>
      </w:tblGrid>
      <w:tr w:rsidR="002422AC" w:rsidRPr="00C40853" w14:paraId="3EE1534F" w14:textId="77777777" w:rsidTr="002422AC">
        <w:trPr>
          <w:trHeight w:val="614"/>
          <w:tblHeader/>
          <w:jc w:val="center"/>
        </w:trPr>
        <w:tc>
          <w:tcPr>
            <w:tcW w:w="340" w:type="pct"/>
            <w:shd w:val="clear" w:color="auto" w:fill="FFFFFF"/>
            <w:vAlign w:val="center"/>
          </w:tcPr>
          <w:p w14:paraId="28C713DF" w14:textId="77777777" w:rsidR="002422AC" w:rsidRPr="002422AC" w:rsidRDefault="002422AC" w:rsidP="006D0185">
            <w:pPr>
              <w:jc w:val="center"/>
              <w:rPr>
                <w:rFonts w:ascii="仿宋_GB2312" w:eastAsia="仿宋_GB2312" w:hAnsi="Times New Roman" w:cs="Times New Roman" w:hint="eastAsia"/>
                <w:b/>
                <w:sz w:val="24"/>
                <w:szCs w:val="24"/>
              </w:rPr>
            </w:pPr>
            <w:r w:rsidRPr="002422AC">
              <w:rPr>
                <w:rFonts w:ascii="仿宋_GB2312" w:eastAsia="仿宋_GB2312" w:hAnsi="Times New Roman" w:cs="Times New Roman" w:hint="eastAsia"/>
                <w:b/>
                <w:sz w:val="24"/>
                <w:szCs w:val="24"/>
              </w:rPr>
              <w:t>序号</w:t>
            </w:r>
          </w:p>
        </w:tc>
        <w:tc>
          <w:tcPr>
            <w:tcW w:w="624" w:type="pct"/>
            <w:shd w:val="clear" w:color="auto" w:fill="FFFFFF"/>
            <w:vAlign w:val="center"/>
          </w:tcPr>
          <w:p w14:paraId="78520EC7" w14:textId="77777777" w:rsidR="002422AC" w:rsidRPr="002422AC" w:rsidRDefault="002422AC" w:rsidP="006D0185">
            <w:pPr>
              <w:jc w:val="center"/>
              <w:rPr>
                <w:rFonts w:ascii="仿宋_GB2312" w:eastAsia="仿宋_GB2312" w:hAnsi="Times New Roman" w:cs="Times New Roman" w:hint="eastAsia"/>
                <w:b/>
                <w:sz w:val="24"/>
                <w:szCs w:val="24"/>
              </w:rPr>
            </w:pPr>
            <w:r w:rsidRPr="002422AC">
              <w:rPr>
                <w:rFonts w:ascii="仿宋_GB2312" w:eastAsia="仿宋_GB2312" w:hAnsi="Times New Roman" w:cs="Times New Roman" w:hint="eastAsia"/>
                <w:b/>
                <w:sz w:val="24"/>
                <w:szCs w:val="24"/>
              </w:rPr>
              <w:t>借款人名称</w:t>
            </w:r>
          </w:p>
        </w:tc>
        <w:tc>
          <w:tcPr>
            <w:tcW w:w="626" w:type="pct"/>
            <w:shd w:val="clear" w:color="auto" w:fill="FFFFFF"/>
            <w:vAlign w:val="center"/>
          </w:tcPr>
          <w:p w14:paraId="7F0DCE0B" w14:textId="77777777" w:rsidR="002422AC" w:rsidRPr="002422AC" w:rsidRDefault="002422AC" w:rsidP="006D0185">
            <w:pPr>
              <w:jc w:val="center"/>
              <w:rPr>
                <w:rFonts w:ascii="仿宋_GB2312" w:eastAsia="仿宋_GB2312" w:hAnsi="Times New Roman" w:cs="Times New Roman" w:hint="eastAsia"/>
                <w:b/>
                <w:sz w:val="24"/>
                <w:szCs w:val="24"/>
              </w:rPr>
            </w:pPr>
            <w:r w:rsidRPr="002422AC">
              <w:rPr>
                <w:rFonts w:ascii="仿宋_GB2312" w:eastAsia="仿宋_GB2312" w:hAnsi="Times New Roman" w:cs="Times New Roman" w:hint="eastAsia"/>
                <w:b/>
                <w:sz w:val="24"/>
                <w:szCs w:val="24"/>
              </w:rPr>
              <w:t>本金</w:t>
            </w:r>
          </w:p>
        </w:tc>
        <w:tc>
          <w:tcPr>
            <w:tcW w:w="626" w:type="pct"/>
            <w:shd w:val="clear" w:color="auto" w:fill="FFFFFF"/>
            <w:vAlign w:val="center"/>
          </w:tcPr>
          <w:p w14:paraId="4FA66F9C" w14:textId="77777777" w:rsidR="002422AC" w:rsidRPr="002422AC" w:rsidRDefault="002422AC" w:rsidP="006D0185">
            <w:pPr>
              <w:jc w:val="center"/>
              <w:rPr>
                <w:rFonts w:ascii="仿宋_GB2312" w:eastAsia="仿宋_GB2312" w:hAnsi="Times New Roman" w:cs="Times New Roman" w:hint="eastAsia"/>
                <w:b/>
                <w:sz w:val="24"/>
                <w:szCs w:val="24"/>
              </w:rPr>
            </w:pPr>
            <w:r w:rsidRPr="002422AC">
              <w:rPr>
                <w:rFonts w:ascii="仿宋_GB2312" w:eastAsia="仿宋_GB2312" w:hAnsi="Times New Roman" w:cs="Times New Roman" w:hint="eastAsia"/>
                <w:b/>
                <w:sz w:val="24"/>
                <w:szCs w:val="24"/>
              </w:rPr>
              <w:t>利息</w:t>
            </w:r>
          </w:p>
        </w:tc>
        <w:tc>
          <w:tcPr>
            <w:tcW w:w="684" w:type="pct"/>
            <w:shd w:val="clear" w:color="auto" w:fill="FFFFFF"/>
            <w:vAlign w:val="center"/>
          </w:tcPr>
          <w:p w14:paraId="3F149800" w14:textId="77777777" w:rsidR="002422AC" w:rsidRPr="002422AC" w:rsidRDefault="002422AC" w:rsidP="006D0185">
            <w:pPr>
              <w:jc w:val="center"/>
              <w:rPr>
                <w:rFonts w:ascii="仿宋_GB2312" w:eastAsia="仿宋_GB2312" w:hAnsi="Times New Roman" w:cs="Times New Roman" w:hint="eastAsia"/>
                <w:b/>
                <w:sz w:val="24"/>
                <w:szCs w:val="24"/>
              </w:rPr>
            </w:pPr>
            <w:r w:rsidRPr="002422AC">
              <w:rPr>
                <w:rFonts w:ascii="仿宋_GB2312" w:eastAsia="仿宋_GB2312" w:hAnsi="Times New Roman" w:cs="Times New Roman" w:hint="eastAsia"/>
                <w:b/>
                <w:sz w:val="24"/>
                <w:szCs w:val="24"/>
              </w:rPr>
              <w:t>本息合计</w:t>
            </w:r>
          </w:p>
        </w:tc>
        <w:tc>
          <w:tcPr>
            <w:tcW w:w="1021" w:type="pct"/>
            <w:shd w:val="clear" w:color="auto" w:fill="FFFFFF"/>
            <w:vAlign w:val="center"/>
          </w:tcPr>
          <w:p w14:paraId="14181A29" w14:textId="77777777" w:rsidR="002422AC" w:rsidRPr="002422AC" w:rsidRDefault="002422AC" w:rsidP="006D0185">
            <w:pPr>
              <w:jc w:val="center"/>
              <w:rPr>
                <w:rFonts w:ascii="仿宋_GB2312" w:eastAsia="仿宋_GB2312" w:hAnsi="Times New Roman" w:cs="Times New Roman" w:hint="eastAsia"/>
                <w:b/>
                <w:sz w:val="24"/>
                <w:szCs w:val="24"/>
              </w:rPr>
            </w:pPr>
            <w:r w:rsidRPr="002422AC">
              <w:rPr>
                <w:rFonts w:ascii="仿宋_GB2312" w:eastAsia="仿宋_GB2312" w:hAnsi="Times New Roman" w:cs="Times New Roman" w:hint="eastAsia"/>
                <w:b/>
                <w:sz w:val="24"/>
                <w:szCs w:val="24"/>
              </w:rPr>
              <w:t>抵质押物情况</w:t>
            </w:r>
          </w:p>
        </w:tc>
        <w:tc>
          <w:tcPr>
            <w:tcW w:w="711" w:type="pct"/>
            <w:shd w:val="clear" w:color="auto" w:fill="FFFFFF"/>
            <w:vAlign w:val="center"/>
          </w:tcPr>
          <w:p w14:paraId="7BB0486B" w14:textId="77777777" w:rsidR="002422AC" w:rsidRPr="002422AC" w:rsidRDefault="002422AC" w:rsidP="006D0185">
            <w:pPr>
              <w:jc w:val="center"/>
              <w:rPr>
                <w:rFonts w:ascii="仿宋_GB2312" w:eastAsia="仿宋_GB2312" w:hAnsi="Times New Roman" w:cs="Times New Roman" w:hint="eastAsia"/>
                <w:b/>
                <w:sz w:val="24"/>
                <w:szCs w:val="24"/>
              </w:rPr>
            </w:pPr>
            <w:r w:rsidRPr="002422AC">
              <w:rPr>
                <w:rFonts w:ascii="仿宋_GB2312" w:eastAsia="仿宋_GB2312" w:hAnsi="Times New Roman" w:cs="Times New Roman" w:hint="eastAsia"/>
                <w:b/>
                <w:sz w:val="24"/>
                <w:szCs w:val="24"/>
              </w:rPr>
              <w:t>保证人</w:t>
            </w:r>
          </w:p>
        </w:tc>
        <w:tc>
          <w:tcPr>
            <w:tcW w:w="368" w:type="pct"/>
            <w:shd w:val="clear" w:color="auto" w:fill="FFFFFF"/>
            <w:vAlign w:val="center"/>
          </w:tcPr>
          <w:p w14:paraId="34D7338C" w14:textId="77777777" w:rsidR="002422AC" w:rsidRPr="002422AC" w:rsidRDefault="002422AC" w:rsidP="006D0185">
            <w:pPr>
              <w:jc w:val="center"/>
              <w:rPr>
                <w:rFonts w:ascii="仿宋_GB2312" w:eastAsia="仿宋_GB2312" w:hAnsi="Times New Roman" w:cs="Times New Roman" w:hint="eastAsia"/>
                <w:b/>
                <w:sz w:val="24"/>
                <w:szCs w:val="24"/>
              </w:rPr>
            </w:pPr>
            <w:r w:rsidRPr="002422AC">
              <w:rPr>
                <w:rFonts w:ascii="仿宋_GB2312" w:eastAsia="仿宋_GB2312" w:hAnsi="Times New Roman" w:cs="Times New Roman" w:hint="eastAsia"/>
                <w:b/>
                <w:sz w:val="24"/>
                <w:szCs w:val="24"/>
              </w:rPr>
              <w:t>诉讼情况</w:t>
            </w:r>
          </w:p>
        </w:tc>
      </w:tr>
      <w:tr w:rsidR="002422AC" w:rsidRPr="00C40853" w14:paraId="2DA699B0" w14:textId="77777777" w:rsidTr="002422AC">
        <w:trPr>
          <w:trHeight w:val="454"/>
          <w:jc w:val="center"/>
        </w:trPr>
        <w:tc>
          <w:tcPr>
            <w:tcW w:w="340" w:type="pct"/>
            <w:shd w:val="clear" w:color="auto" w:fill="FFFFFF"/>
            <w:vAlign w:val="center"/>
          </w:tcPr>
          <w:p w14:paraId="6545C22F"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1</w:t>
            </w:r>
          </w:p>
        </w:tc>
        <w:tc>
          <w:tcPr>
            <w:tcW w:w="624" w:type="pct"/>
            <w:shd w:val="clear" w:color="auto" w:fill="FFFFFF"/>
            <w:vAlign w:val="center"/>
          </w:tcPr>
          <w:p w14:paraId="40375FAA" w14:textId="77777777" w:rsidR="002422AC" w:rsidRPr="002422AC" w:rsidRDefault="002422AC" w:rsidP="006D0185">
            <w:pPr>
              <w:jc w:val="center"/>
              <w:rPr>
                <w:rFonts w:ascii="仿宋_GB2312" w:eastAsia="仿宋_GB2312" w:hAnsi="Times New Roman" w:cs="Times New Roman" w:hint="eastAsia"/>
                <w:sz w:val="24"/>
                <w:szCs w:val="24"/>
              </w:rPr>
            </w:pPr>
            <w:bookmarkStart w:id="1" w:name="_Hlk212038506"/>
            <w:r w:rsidRPr="002422AC">
              <w:rPr>
                <w:rFonts w:ascii="仿宋_GB2312" w:eastAsia="仿宋_GB2312" w:hint="eastAsia"/>
                <w:sz w:val="24"/>
                <w:szCs w:val="24"/>
              </w:rPr>
              <w:t>广东振戎能源有限公司</w:t>
            </w:r>
            <w:bookmarkEnd w:id="1"/>
            <w:r w:rsidRPr="002422AC">
              <w:rPr>
                <w:rFonts w:ascii="仿宋_GB2312" w:eastAsia="仿宋_GB2312" w:hint="eastAsia"/>
                <w:sz w:val="24"/>
                <w:szCs w:val="24"/>
              </w:rPr>
              <w:t>（农行3号包）</w:t>
            </w:r>
          </w:p>
        </w:tc>
        <w:tc>
          <w:tcPr>
            <w:tcW w:w="626" w:type="pct"/>
            <w:shd w:val="clear" w:color="auto" w:fill="FFFFFF"/>
            <w:vAlign w:val="center"/>
          </w:tcPr>
          <w:p w14:paraId="275DC763"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46,500.00</w:t>
            </w:r>
          </w:p>
        </w:tc>
        <w:tc>
          <w:tcPr>
            <w:tcW w:w="626" w:type="pct"/>
            <w:shd w:val="clear" w:color="auto" w:fill="FFFFFF"/>
            <w:vAlign w:val="center"/>
          </w:tcPr>
          <w:p w14:paraId="53B6F782"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45,439.39</w:t>
            </w:r>
          </w:p>
        </w:tc>
        <w:tc>
          <w:tcPr>
            <w:tcW w:w="684" w:type="pct"/>
            <w:shd w:val="clear" w:color="auto" w:fill="FFFFFF"/>
            <w:vAlign w:val="center"/>
          </w:tcPr>
          <w:p w14:paraId="2D420833"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91,939.39</w:t>
            </w:r>
          </w:p>
        </w:tc>
        <w:tc>
          <w:tcPr>
            <w:tcW w:w="1021" w:type="pct"/>
            <w:shd w:val="clear" w:color="auto" w:fill="FFFFFF"/>
            <w:vAlign w:val="center"/>
          </w:tcPr>
          <w:p w14:paraId="59415B6D"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安徽省淮南市田家庵区朝阳街道龙湖社区财富中心C区101号。该抵押物对应土地证号为：房地权淮田字第08006911号。建筑面积1,241.56平方米。</w:t>
            </w:r>
          </w:p>
        </w:tc>
        <w:tc>
          <w:tcPr>
            <w:tcW w:w="711" w:type="pct"/>
            <w:shd w:val="clear" w:color="auto" w:fill="FFFFFF"/>
            <w:vAlign w:val="center"/>
          </w:tcPr>
          <w:p w14:paraId="3B5D48B4" w14:textId="77777777" w:rsidR="002422AC" w:rsidRPr="002422AC" w:rsidRDefault="002422AC" w:rsidP="006D0185">
            <w:pPr>
              <w:jc w:val="center"/>
              <w:rPr>
                <w:rFonts w:ascii="仿宋_GB2312" w:eastAsia="仿宋_GB2312" w:hAnsi="Times New Roman" w:cs="Times New Roman" w:hint="eastAsia"/>
                <w:sz w:val="24"/>
                <w:szCs w:val="24"/>
              </w:rPr>
            </w:pPr>
            <w:bookmarkStart w:id="2" w:name="_Hlk212038764"/>
            <w:r w:rsidRPr="002422AC">
              <w:rPr>
                <w:rFonts w:ascii="仿宋_GB2312" w:eastAsia="仿宋_GB2312" w:hAnsi="Times New Roman" w:cs="Times New Roman" w:hint="eastAsia"/>
                <w:sz w:val="24"/>
                <w:szCs w:val="24"/>
              </w:rPr>
              <w:t>安徽省金大陆房地产开发</w:t>
            </w:r>
          </w:p>
          <w:p w14:paraId="04BAEEA5"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有限公司</w:t>
            </w:r>
            <w:bookmarkEnd w:id="2"/>
            <w:r w:rsidRPr="002422AC">
              <w:rPr>
                <w:rFonts w:ascii="仿宋_GB2312" w:eastAsia="仿宋_GB2312" w:hAnsi="Times New Roman" w:cs="Times New Roman" w:hint="eastAsia"/>
                <w:sz w:val="24"/>
                <w:szCs w:val="24"/>
              </w:rPr>
              <w:t>、</w:t>
            </w:r>
            <w:bookmarkStart w:id="3" w:name="_Hlk212038877"/>
            <w:r w:rsidRPr="002422AC">
              <w:rPr>
                <w:rFonts w:ascii="仿宋_GB2312" w:eastAsia="仿宋_GB2312" w:hAnsi="Times New Roman" w:cs="Times New Roman" w:hint="eastAsia"/>
                <w:sz w:val="24"/>
                <w:szCs w:val="24"/>
              </w:rPr>
              <w:t>广州南沙振戎仓储有限公司</w:t>
            </w:r>
            <w:bookmarkEnd w:id="3"/>
            <w:r w:rsidRPr="002422AC">
              <w:rPr>
                <w:rFonts w:ascii="仿宋_GB2312" w:eastAsia="仿宋_GB2312" w:hAnsi="Times New Roman" w:cs="Times New Roman" w:hint="eastAsia"/>
                <w:sz w:val="24"/>
                <w:szCs w:val="24"/>
              </w:rPr>
              <w:t>、上海敬</w:t>
            </w:r>
            <w:r w:rsidRPr="002422AC">
              <w:rPr>
                <w:rFonts w:ascii="微软雅黑" w:eastAsia="微软雅黑" w:hAnsi="微软雅黑" w:cs="微软雅黑" w:hint="eastAsia"/>
                <w:sz w:val="24"/>
                <w:szCs w:val="24"/>
              </w:rPr>
              <w:t>镕</w:t>
            </w:r>
            <w:r w:rsidRPr="002422AC">
              <w:rPr>
                <w:rFonts w:ascii="仿宋_GB2312" w:eastAsia="仿宋_GB2312" w:hAnsi="仿宋_GB2312" w:cs="仿宋_GB2312" w:hint="eastAsia"/>
                <w:sz w:val="24"/>
                <w:szCs w:val="24"/>
              </w:rPr>
              <w:t>实业</w:t>
            </w:r>
          </w:p>
          <w:p w14:paraId="1261EDD6"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有限公司</w:t>
            </w:r>
          </w:p>
        </w:tc>
        <w:tc>
          <w:tcPr>
            <w:tcW w:w="368" w:type="pct"/>
            <w:shd w:val="clear" w:color="auto" w:fill="FFFFFF"/>
            <w:vAlign w:val="center"/>
          </w:tcPr>
          <w:p w14:paraId="51EDDF91"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终本执行</w:t>
            </w:r>
          </w:p>
        </w:tc>
      </w:tr>
      <w:tr w:rsidR="002422AC" w:rsidRPr="00C40853" w14:paraId="72285A5F" w14:textId="77777777" w:rsidTr="002422AC">
        <w:trPr>
          <w:trHeight w:val="454"/>
          <w:jc w:val="center"/>
        </w:trPr>
        <w:tc>
          <w:tcPr>
            <w:tcW w:w="340" w:type="pct"/>
            <w:shd w:val="clear" w:color="auto" w:fill="FFFFFF"/>
            <w:vAlign w:val="center"/>
          </w:tcPr>
          <w:p w14:paraId="6B62D0DF"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2</w:t>
            </w:r>
          </w:p>
        </w:tc>
        <w:tc>
          <w:tcPr>
            <w:tcW w:w="624" w:type="pct"/>
            <w:shd w:val="clear" w:color="auto" w:fill="FFFFFF"/>
            <w:vAlign w:val="center"/>
          </w:tcPr>
          <w:p w14:paraId="48F3F658"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int="eastAsia"/>
                <w:sz w:val="24"/>
                <w:szCs w:val="24"/>
              </w:rPr>
              <w:t>广东振戎能源有限公司（广农商行长荣包）</w:t>
            </w:r>
          </w:p>
        </w:tc>
        <w:tc>
          <w:tcPr>
            <w:tcW w:w="626" w:type="pct"/>
            <w:shd w:val="clear" w:color="auto" w:fill="FFFFFF"/>
            <w:vAlign w:val="center"/>
          </w:tcPr>
          <w:p w14:paraId="523E6735"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18,339.69</w:t>
            </w:r>
          </w:p>
        </w:tc>
        <w:tc>
          <w:tcPr>
            <w:tcW w:w="626" w:type="pct"/>
            <w:shd w:val="clear" w:color="auto" w:fill="FFFFFF"/>
            <w:vAlign w:val="center"/>
          </w:tcPr>
          <w:p w14:paraId="3F0A42E8"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16,654.62</w:t>
            </w:r>
          </w:p>
        </w:tc>
        <w:tc>
          <w:tcPr>
            <w:tcW w:w="684" w:type="pct"/>
            <w:shd w:val="clear" w:color="auto" w:fill="FFFFFF"/>
            <w:vAlign w:val="center"/>
          </w:tcPr>
          <w:p w14:paraId="07B59248"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34,994.31</w:t>
            </w:r>
          </w:p>
        </w:tc>
        <w:tc>
          <w:tcPr>
            <w:tcW w:w="1021" w:type="pct"/>
            <w:shd w:val="clear" w:color="auto" w:fill="FFFFFF"/>
            <w:vAlign w:val="center"/>
          </w:tcPr>
          <w:p w14:paraId="5BB97905"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无</w:t>
            </w:r>
          </w:p>
        </w:tc>
        <w:tc>
          <w:tcPr>
            <w:tcW w:w="711" w:type="pct"/>
            <w:shd w:val="clear" w:color="auto" w:fill="FFFFFF"/>
            <w:vAlign w:val="center"/>
          </w:tcPr>
          <w:p w14:paraId="75649CBD"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珠海金凯能源有限公司、</w:t>
            </w:r>
            <w:bookmarkStart w:id="4" w:name="_Hlk212038990"/>
            <w:r w:rsidRPr="002422AC">
              <w:rPr>
                <w:rFonts w:ascii="仿宋_GB2312" w:eastAsia="仿宋_GB2312" w:hAnsi="Times New Roman" w:cs="Times New Roman" w:hint="eastAsia"/>
                <w:sz w:val="24"/>
                <w:szCs w:val="24"/>
              </w:rPr>
              <w:t>广东振戎资源有限公司</w:t>
            </w:r>
            <w:bookmarkEnd w:id="4"/>
          </w:p>
        </w:tc>
        <w:tc>
          <w:tcPr>
            <w:tcW w:w="368" w:type="pct"/>
            <w:shd w:val="clear" w:color="auto" w:fill="FFFFFF"/>
            <w:vAlign w:val="center"/>
          </w:tcPr>
          <w:p w14:paraId="2FDDFC64"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终本执行</w:t>
            </w:r>
          </w:p>
        </w:tc>
      </w:tr>
      <w:tr w:rsidR="002422AC" w:rsidRPr="00C40853" w14:paraId="32A6CEC0" w14:textId="77777777" w:rsidTr="002422AC">
        <w:trPr>
          <w:trHeight w:val="454"/>
          <w:jc w:val="center"/>
        </w:trPr>
        <w:tc>
          <w:tcPr>
            <w:tcW w:w="964" w:type="pct"/>
            <w:gridSpan w:val="2"/>
            <w:shd w:val="clear" w:color="auto" w:fill="FFFFFF"/>
            <w:vAlign w:val="center"/>
          </w:tcPr>
          <w:p w14:paraId="111FEABF" w14:textId="77777777" w:rsidR="002422AC" w:rsidRPr="002422AC" w:rsidRDefault="002422AC" w:rsidP="006D0185">
            <w:pPr>
              <w:jc w:val="center"/>
              <w:rPr>
                <w:rFonts w:ascii="仿宋_GB2312" w:eastAsia="仿宋_GB2312" w:hAnsi="Times New Roman" w:cs="Times New Roman" w:hint="eastAsia"/>
                <w:b/>
                <w:sz w:val="24"/>
                <w:szCs w:val="24"/>
              </w:rPr>
            </w:pPr>
            <w:r w:rsidRPr="002422AC">
              <w:rPr>
                <w:rFonts w:ascii="仿宋_GB2312" w:eastAsia="仿宋_GB2312" w:hAnsi="Times New Roman" w:cs="Times New Roman" w:hint="eastAsia"/>
                <w:b/>
                <w:sz w:val="24"/>
                <w:szCs w:val="24"/>
              </w:rPr>
              <w:t>合计</w:t>
            </w:r>
          </w:p>
        </w:tc>
        <w:tc>
          <w:tcPr>
            <w:tcW w:w="626" w:type="pct"/>
            <w:shd w:val="clear" w:color="auto" w:fill="FFFFFF"/>
            <w:vAlign w:val="center"/>
          </w:tcPr>
          <w:p w14:paraId="107D5B29"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64,839.69</w:t>
            </w:r>
          </w:p>
        </w:tc>
        <w:tc>
          <w:tcPr>
            <w:tcW w:w="626" w:type="pct"/>
            <w:shd w:val="clear" w:color="auto" w:fill="FFFFFF"/>
            <w:vAlign w:val="center"/>
          </w:tcPr>
          <w:p w14:paraId="341EE918"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62,094.01</w:t>
            </w:r>
          </w:p>
        </w:tc>
        <w:tc>
          <w:tcPr>
            <w:tcW w:w="684" w:type="pct"/>
            <w:shd w:val="clear" w:color="auto" w:fill="FFFFFF"/>
            <w:vAlign w:val="center"/>
          </w:tcPr>
          <w:p w14:paraId="20E11636" w14:textId="77777777" w:rsidR="002422AC" w:rsidRPr="002422AC" w:rsidRDefault="002422AC" w:rsidP="006D0185">
            <w:pPr>
              <w:jc w:val="center"/>
              <w:rPr>
                <w:rFonts w:ascii="仿宋_GB2312" w:eastAsia="仿宋_GB2312" w:hAnsi="Times New Roman" w:cs="Times New Roman" w:hint="eastAsia"/>
                <w:sz w:val="24"/>
                <w:szCs w:val="24"/>
              </w:rPr>
            </w:pPr>
            <w:r w:rsidRPr="002422AC">
              <w:rPr>
                <w:rFonts w:ascii="仿宋_GB2312" w:eastAsia="仿宋_GB2312" w:hAnsi="Times New Roman" w:cs="Times New Roman" w:hint="eastAsia"/>
                <w:sz w:val="24"/>
                <w:szCs w:val="24"/>
              </w:rPr>
              <w:t xml:space="preserve">126,933.70 </w:t>
            </w:r>
          </w:p>
        </w:tc>
        <w:tc>
          <w:tcPr>
            <w:tcW w:w="1021" w:type="pct"/>
            <w:shd w:val="clear" w:color="auto" w:fill="FFFFFF"/>
            <w:vAlign w:val="center"/>
          </w:tcPr>
          <w:p w14:paraId="761DDCF2" w14:textId="77777777" w:rsidR="002422AC" w:rsidRPr="002422AC" w:rsidRDefault="002422AC" w:rsidP="006D0185">
            <w:pPr>
              <w:jc w:val="center"/>
              <w:rPr>
                <w:rFonts w:ascii="仿宋_GB2312" w:eastAsia="仿宋_GB2312" w:hAnsi="Times New Roman" w:cs="Times New Roman" w:hint="eastAsia"/>
                <w:sz w:val="24"/>
                <w:szCs w:val="24"/>
              </w:rPr>
            </w:pPr>
          </w:p>
        </w:tc>
        <w:tc>
          <w:tcPr>
            <w:tcW w:w="711" w:type="pct"/>
            <w:shd w:val="clear" w:color="auto" w:fill="FFFFFF"/>
            <w:vAlign w:val="center"/>
          </w:tcPr>
          <w:p w14:paraId="72B22D1E" w14:textId="77777777" w:rsidR="002422AC" w:rsidRPr="002422AC" w:rsidRDefault="002422AC" w:rsidP="006D0185">
            <w:pPr>
              <w:jc w:val="center"/>
              <w:rPr>
                <w:rFonts w:ascii="仿宋_GB2312" w:eastAsia="仿宋_GB2312" w:hAnsi="Times New Roman" w:cs="Times New Roman" w:hint="eastAsia"/>
                <w:sz w:val="24"/>
                <w:szCs w:val="24"/>
              </w:rPr>
            </w:pPr>
          </w:p>
        </w:tc>
        <w:tc>
          <w:tcPr>
            <w:tcW w:w="368" w:type="pct"/>
            <w:tcBorders>
              <w:top w:val="nil"/>
              <w:bottom w:val="single" w:sz="4" w:space="0" w:color="auto"/>
            </w:tcBorders>
            <w:shd w:val="clear" w:color="auto" w:fill="FFFFFF"/>
            <w:vAlign w:val="center"/>
          </w:tcPr>
          <w:p w14:paraId="3879C5D2" w14:textId="77777777" w:rsidR="002422AC" w:rsidRPr="002422AC" w:rsidRDefault="002422AC" w:rsidP="006D0185">
            <w:pPr>
              <w:widowControl/>
              <w:jc w:val="center"/>
              <w:rPr>
                <w:rFonts w:ascii="仿宋_GB2312" w:eastAsia="仿宋_GB2312" w:hAnsi="Times New Roman" w:cs="Times New Roman" w:hint="eastAsia"/>
                <w:sz w:val="24"/>
                <w:szCs w:val="24"/>
              </w:rPr>
            </w:pPr>
          </w:p>
        </w:tc>
      </w:tr>
    </w:tbl>
    <w:p w14:paraId="4C656373" w14:textId="77777777" w:rsidR="005E6E0E" w:rsidRPr="00390F43" w:rsidRDefault="005E6E0E" w:rsidP="00760CAB">
      <w:pPr>
        <w:spacing w:line="360" w:lineRule="auto"/>
        <w:ind w:firstLineChars="200" w:firstLine="640"/>
        <w:rPr>
          <w:rFonts w:ascii="仿宋_GB2312" w:eastAsia="仿宋_GB2312" w:hAnsi="仿宋"/>
          <w:sz w:val="32"/>
          <w:szCs w:val="32"/>
        </w:rPr>
      </w:pPr>
    </w:p>
    <w:p w14:paraId="059793A6" w14:textId="115044A7" w:rsidR="005E4B83" w:rsidRPr="00CE0CED" w:rsidRDefault="005E4B83" w:rsidP="005E4B83">
      <w:pPr>
        <w:rPr>
          <w:rFonts w:ascii="黑体" w:eastAsia="黑体" w:hAnsi="黑体"/>
          <w:b/>
          <w:bCs/>
          <w:sz w:val="32"/>
          <w:szCs w:val="32"/>
        </w:rPr>
      </w:pPr>
      <w:r w:rsidRPr="00CE0CED">
        <w:rPr>
          <w:rFonts w:ascii="黑体" w:eastAsia="黑体" w:hAnsi="黑体" w:hint="eastAsia"/>
          <w:b/>
          <w:bCs/>
          <w:sz w:val="32"/>
          <w:szCs w:val="32"/>
        </w:rPr>
        <w:t>二、资产</w:t>
      </w:r>
      <w:r w:rsidR="0018331F" w:rsidRPr="00CE0CED">
        <w:rPr>
          <w:rFonts w:ascii="黑体" w:eastAsia="黑体" w:hAnsi="黑体" w:hint="eastAsia"/>
          <w:b/>
          <w:bCs/>
          <w:sz w:val="32"/>
          <w:szCs w:val="32"/>
        </w:rPr>
        <w:t>介绍</w:t>
      </w:r>
    </w:p>
    <w:p w14:paraId="3B858761" w14:textId="62033083" w:rsidR="006122B1" w:rsidRPr="006122B1" w:rsidRDefault="006122B1" w:rsidP="006122B1">
      <w:pPr>
        <w:pStyle w:val="ab"/>
        <w:widowControl/>
        <w:spacing w:line="360" w:lineRule="atLeast"/>
        <w:ind w:firstLineChars="200" w:firstLine="640"/>
        <w:rPr>
          <w:rFonts w:ascii="仿宋_GB2312" w:eastAsia="仿宋_GB2312" w:hAnsi="仿宋" w:cs="仿宋"/>
          <w:color w:val="000000"/>
          <w:sz w:val="32"/>
          <w:szCs w:val="32"/>
        </w:rPr>
      </w:pPr>
      <w:r w:rsidRPr="006122B1">
        <w:rPr>
          <w:rFonts w:ascii="仿宋_GB2312" w:eastAsia="仿宋_GB2312" w:hAnsi="仿宋" w:cs="仿宋" w:hint="eastAsia"/>
          <w:color w:val="000000"/>
          <w:sz w:val="32"/>
          <w:szCs w:val="32"/>
        </w:rPr>
        <w:t>上述债权抵押物为安徽省淮南市田家庵区朝阳街道龙湖社区财富中心</w:t>
      </w:r>
      <w:r w:rsidRPr="006122B1">
        <w:rPr>
          <w:rFonts w:ascii="仿宋_GB2312" w:eastAsia="仿宋_GB2312" w:hAnsi="仿宋" w:cs="仿宋"/>
          <w:color w:val="000000"/>
          <w:sz w:val="32"/>
          <w:szCs w:val="32"/>
        </w:rPr>
        <w:t>C区101号商业物业，具体如下：</w:t>
      </w:r>
    </w:p>
    <w:p w14:paraId="5B26E871" w14:textId="0CA76BAF" w:rsidR="00AC3956" w:rsidRPr="00390F43" w:rsidRDefault="006122B1" w:rsidP="006122B1">
      <w:pPr>
        <w:pStyle w:val="ab"/>
        <w:widowControl/>
        <w:spacing w:line="360" w:lineRule="atLeast"/>
        <w:ind w:firstLineChars="200" w:firstLine="640"/>
        <w:rPr>
          <w:rFonts w:ascii="仿宋_GB2312" w:eastAsia="仿宋_GB2312" w:hAnsi="仿宋" w:cs="仿宋"/>
          <w:color w:val="000000"/>
          <w:sz w:val="32"/>
          <w:szCs w:val="32"/>
        </w:rPr>
      </w:pPr>
      <w:r w:rsidRPr="006122B1">
        <w:rPr>
          <w:rFonts w:ascii="仿宋_GB2312" w:eastAsia="仿宋_GB2312" w:hAnsi="仿宋" w:cs="仿宋" w:hint="eastAsia"/>
          <w:color w:val="000000"/>
          <w:sz w:val="32"/>
          <w:szCs w:val="32"/>
        </w:rPr>
        <w:t>抵押物所在商场合肥百大淮南购物中心，位于淮南市田家庵区人民南路与国庆中路交口西南侧，东临人民南路，南</w:t>
      </w:r>
      <w:r w:rsidRPr="006122B1">
        <w:rPr>
          <w:rFonts w:ascii="仿宋_GB2312" w:eastAsia="仿宋_GB2312" w:hAnsi="仿宋" w:cs="仿宋" w:hint="eastAsia"/>
          <w:color w:val="000000"/>
          <w:sz w:val="32"/>
          <w:szCs w:val="32"/>
        </w:rPr>
        <w:lastRenderedPageBreak/>
        <w:t>临龙湖小区，西临锦绣广场，北临国庆中路，距离火车站约</w:t>
      </w:r>
      <w:r w:rsidRPr="006122B1">
        <w:rPr>
          <w:rFonts w:ascii="仿宋_GB2312" w:eastAsia="仿宋_GB2312" w:hAnsi="仿宋" w:cs="仿宋"/>
          <w:color w:val="000000"/>
          <w:sz w:val="32"/>
          <w:szCs w:val="32"/>
        </w:rPr>
        <w:t>2.0公里、长途汽车站约0.7公里，与大润发超市、淮南市妇幼保健院、淮南市田家庵区人民政府、龙湖路商业街等重要设施距离多数在1公里以内，服务半径较短。抵押物所在的商场一楼已打通重新分割成若干商铺出租，商铺大多为服装、鞋履店铺，均在正常营业。</w:t>
      </w:r>
    </w:p>
    <w:p w14:paraId="12B5296C" w14:textId="77777777" w:rsidR="00EB1BCD" w:rsidRPr="00390F43" w:rsidRDefault="00EB1BCD" w:rsidP="00760CAB">
      <w:pPr>
        <w:rPr>
          <w:rFonts w:ascii="仿宋_GB2312" w:eastAsia="仿宋_GB2312" w:hAnsi="仿宋" w:cs="Times New Roman"/>
          <w:bCs/>
          <w:kern w:val="0"/>
          <w:sz w:val="32"/>
          <w:szCs w:val="32"/>
        </w:rPr>
      </w:pPr>
    </w:p>
    <w:p w14:paraId="5B6DDFE9" w14:textId="096B4C46" w:rsidR="00152FFE" w:rsidRPr="00CE0CED" w:rsidRDefault="00152FFE" w:rsidP="00152FFE">
      <w:pPr>
        <w:pStyle w:val="ab"/>
        <w:widowControl/>
        <w:spacing w:line="360" w:lineRule="atLeast"/>
        <w:ind w:firstLineChars="0" w:firstLine="0"/>
        <w:rPr>
          <w:rFonts w:ascii="黑体" w:eastAsia="黑体" w:hAnsi="黑体" w:cstheme="minorBidi"/>
          <w:b/>
          <w:bCs/>
          <w:sz w:val="32"/>
          <w:szCs w:val="32"/>
        </w:rPr>
      </w:pPr>
      <w:r w:rsidRPr="00CE0CED">
        <w:rPr>
          <w:rFonts w:ascii="黑体" w:eastAsia="黑体" w:hAnsi="黑体" w:cstheme="minorBidi" w:hint="eastAsia"/>
          <w:b/>
          <w:bCs/>
          <w:sz w:val="32"/>
          <w:szCs w:val="32"/>
        </w:rPr>
        <w:t>三、主要抵押物及周边照片</w:t>
      </w: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63"/>
        <w:gridCol w:w="4139"/>
      </w:tblGrid>
      <w:tr w:rsidR="00573F61" w:rsidRPr="00E01F5E" w14:paraId="7E85B2EE" w14:textId="77777777" w:rsidTr="006D0185">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6D8410CE" w14:textId="0FCBBFFD" w:rsidR="00573F61" w:rsidRDefault="00573F61" w:rsidP="006D0185">
            <w:pPr>
              <w:rPr>
                <w:rFonts w:eastAsia="仿宋_GB2312"/>
                <w:noProof/>
                <w:szCs w:val="21"/>
              </w:rPr>
            </w:pPr>
            <w:r>
              <w:rPr>
                <w:rFonts w:eastAsia="仿宋_GB2312" w:hint="eastAsia"/>
                <w:noProof/>
                <w:szCs w:val="21"/>
              </w:rPr>
              <w:t>抵押物区位图</w:t>
            </w:r>
          </w:p>
        </w:tc>
      </w:tr>
      <w:tr w:rsidR="00573F61" w:rsidRPr="00E01F5E" w14:paraId="4CBB78D1" w14:textId="77777777" w:rsidTr="006D0185">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42D050E0" w14:textId="77777777" w:rsidR="00573F61" w:rsidRPr="007E3D94" w:rsidRDefault="00573F61" w:rsidP="006D0185">
            <w:pPr>
              <w:rPr>
                <w:rFonts w:eastAsia="仿宋_GB2312"/>
                <w:szCs w:val="21"/>
              </w:rPr>
            </w:pPr>
            <w:r>
              <w:rPr>
                <w:rFonts w:eastAsia="仿宋_GB2312"/>
                <w:noProof/>
                <w:szCs w:val="21"/>
              </w:rPr>
              <w:drawing>
                <wp:inline distT="0" distB="0" distL="0" distR="0" wp14:anchorId="08E1A462" wp14:editId="536BF07C">
                  <wp:extent cx="5212715" cy="2847340"/>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12715" cy="2847340"/>
                          </a:xfrm>
                          <a:prstGeom prst="rect">
                            <a:avLst/>
                          </a:prstGeom>
                          <a:noFill/>
                        </pic:spPr>
                      </pic:pic>
                    </a:graphicData>
                  </a:graphic>
                </wp:inline>
              </w:drawing>
            </w:r>
          </w:p>
        </w:tc>
      </w:tr>
      <w:tr w:rsidR="00A9175D" w:rsidRPr="00E01F5E" w14:paraId="5E9762D2" w14:textId="77777777" w:rsidTr="00A9175D">
        <w:trPr>
          <w:trHeight w:val="368"/>
        </w:trPr>
        <w:tc>
          <w:tcPr>
            <w:tcW w:w="5373" w:type="dxa"/>
            <w:tcBorders>
              <w:top w:val="dashed" w:sz="4" w:space="0" w:color="auto"/>
              <w:left w:val="dashed" w:sz="4" w:space="0" w:color="auto"/>
              <w:bottom w:val="dashed" w:sz="4" w:space="0" w:color="auto"/>
              <w:right w:val="dashed" w:sz="4" w:space="0" w:color="auto"/>
            </w:tcBorders>
          </w:tcPr>
          <w:p w14:paraId="4A3D8C3C" w14:textId="095C441F" w:rsidR="00A9175D" w:rsidRDefault="00A9175D" w:rsidP="006D0185">
            <w:pPr>
              <w:rPr>
                <w:rFonts w:eastAsia="仿宋_GB2312" w:hint="eastAsia"/>
                <w:noProof/>
                <w:szCs w:val="21"/>
              </w:rPr>
            </w:pPr>
            <w:r>
              <w:rPr>
                <w:rFonts w:eastAsia="仿宋_GB2312" w:hint="eastAsia"/>
                <w:noProof/>
                <w:szCs w:val="21"/>
              </w:rPr>
              <w:t>商场外部</w:t>
            </w:r>
          </w:p>
        </w:tc>
        <w:tc>
          <w:tcPr>
            <w:tcW w:w="2929" w:type="dxa"/>
            <w:tcBorders>
              <w:top w:val="dashed" w:sz="4" w:space="0" w:color="auto"/>
              <w:left w:val="dashed" w:sz="4" w:space="0" w:color="auto"/>
              <w:bottom w:val="dashed" w:sz="4" w:space="0" w:color="auto"/>
              <w:right w:val="dashed" w:sz="4" w:space="0" w:color="auto"/>
            </w:tcBorders>
          </w:tcPr>
          <w:p w14:paraId="29C0A56F" w14:textId="394DA7C3" w:rsidR="00A9175D" w:rsidRDefault="00A9175D" w:rsidP="006D0185">
            <w:pPr>
              <w:rPr>
                <w:rFonts w:eastAsia="仿宋_GB2312"/>
                <w:noProof/>
                <w:szCs w:val="21"/>
              </w:rPr>
            </w:pPr>
            <w:r>
              <w:rPr>
                <w:rFonts w:eastAsia="仿宋_GB2312" w:hint="eastAsia"/>
                <w:noProof/>
                <w:szCs w:val="21"/>
              </w:rPr>
              <w:t>商场内景</w:t>
            </w:r>
          </w:p>
        </w:tc>
      </w:tr>
      <w:tr w:rsidR="00573F61" w:rsidRPr="00E01F5E" w14:paraId="06E49531" w14:textId="77777777" w:rsidTr="00A9175D">
        <w:trPr>
          <w:trHeight w:val="2840"/>
        </w:trPr>
        <w:tc>
          <w:tcPr>
            <w:tcW w:w="5373" w:type="dxa"/>
            <w:tcBorders>
              <w:top w:val="dashed" w:sz="4" w:space="0" w:color="auto"/>
              <w:left w:val="dashed" w:sz="4" w:space="0" w:color="auto"/>
              <w:bottom w:val="dashed" w:sz="4" w:space="0" w:color="auto"/>
              <w:right w:val="dashed" w:sz="4" w:space="0" w:color="auto"/>
            </w:tcBorders>
          </w:tcPr>
          <w:p w14:paraId="4F16C2CA" w14:textId="77777777" w:rsidR="00573F61" w:rsidRPr="00E01F5E" w:rsidRDefault="00573F61" w:rsidP="006D0185">
            <w:pPr>
              <w:rPr>
                <w:rFonts w:eastAsia="仿宋_GB2312"/>
                <w:noProof/>
                <w:sz w:val="32"/>
                <w:szCs w:val="32"/>
              </w:rPr>
            </w:pPr>
            <w:r>
              <w:rPr>
                <w:rFonts w:eastAsia="仿宋_GB2312"/>
                <w:noProof/>
                <w:sz w:val="32"/>
                <w:szCs w:val="32"/>
              </w:rPr>
              <w:drawing>
                <wp:inline distT="0" distB="0" distL="0" distR="0" wp14:anchorId="6EF59751" wp14:editId="5EBAE932">
                  <wp:extent cx="2489578" cy="186690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03411" cy="1877273"/>
                          </a:xfrm>
                          <a:prstGeom prst="rect">
                            <a:avLst/>
                          </a:prstGeom>
                          <a:noFill/>
                        </pic:spPr>
                      </pic:pic>
                    </a:graphicData>
                  </a:graphic>
                </wp:inline>
              </w:drawing>
            </w:r>
          </w:p>
        </w:tc>
        <w:tc>
          <w:tcPr>
            <w:tcW w:w="2929" w:type="dxa"/>
            <w:tcBorders>
              <w:top w:val="dashed" w:sz="4" w:space="0" w:color="auto"/>
              <w:left w:val="dashed" w:sz="4" w:space="0" w:color="auto"/>
              <w:bottom w:val="dashed" w:sz="4" w:space="0" w:color="auto"/>
              <w:right w:val="dashed" w:sz="4" w:space="0" w:color="auto"/>
            </w:tcBorders>
          </w:tcPr>
          <w:p w14:paraId="373BA98F" w14:textId="77777777" w:rsidR="00573F61" w:rsidRPr="00E01F5E" w:rsidRDefault="00573F61" w:rsidP="006D0185">
            <w:pPr>
              <w:rPr>
                <w:rFonts w:eastAsia="仿宋_GB2312"/>
                <w:noProof/>
                <w:sz w:val="32"/>
                <w:szCs w:val="32"/>
              </w:rPr>
            </w:pPr>
            <w:r>
              <w:rPr>
                <w:rFonts w:eastAsia="仿宋_GB2312"/>
                <w:noProof/>
                <w:sz w:val="32"/>
                <w:szCs w:val="32"/>
              </w:rPr>
              <w:drawing>
                <wp:inline distT="0" distB="0" distL="0" distR="0" wp14:anchorId="43911D39" wp14:editId="311AE96D">
                  <wp:extent cx="2501900" cy="1872186"/>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32495" cy="1895081"/>
                          </a:xfrm>
                          <a:prstGeom prst="rect">
                            <a:avLst/>
                          </a:prstGeom>
                          <a:noFill/>
                        </pic:spPr>
                      </pic:pic>
                    </a:graphicData>
                  </a:graphic>
                </wp:inline>
              </w:drawing>
            </w:r>
          </w:p>
        </w:tc>
      </w:tr>
      <w:tr w:rsidR="00A9175D" w:rsidRPr="00E01F5E" w14:paraId="225D4770" w14:textId="77777777" w:rsidTr="00A9175D">
        <w:tc>
          <w:tcPr>
            <w:tcW w:w="5373" w:type="dxa"/>
            <w:tcBorders>
              <w:top w:val="dashed" w:sz="4" w:space="0" w:color="auto"/>
              <w:left w:val="dashed" w:sz="4" w:space="0" w:color="auto"/>
              <w:bottom w:val="dashed" w:sz="4" w:space="0" w:color="auto"/>
              <w:right w:val="dashed" w:sz="4" w:space="0" w:color="auto"/>
            </w:tcBorders>
          </w:tcPr>
          <w:p w14:paraId="4CAE73C8" w14:textId="23B56858" w:rsidR="00A9175D" w:rsidRPr="00A9175D" w:rsidRDefault="00A9175D" w:rsidP="006D0185">
            <w:pPr>
              <w:rPr>
                <w:rFonts w:eastAsia="仿宋_GB2312" w:hint="eastAsia"/>
                <w:noProof/>
                <w:szCs w:val="21"/>
              </w:rPr>
            </w:pPr>
            <w:r w:rsidRPr="00A9175D">
              <w:rPr>
                <w:rFonts w:eastAsia="仿宋_GB2312" w:hint="eastAsia"/>
                <w:noProof/>
                <w:szCs w:val="21"/>
              </w:rPr>
              <w:t>商场周边</w:t>
            </w:r>
          </w:p>
        </w:tc>
        <w:tc>
          <w:tcPr>
            <w:tcW w:w="2929" w:type="dxa"/>
            <w:tcBorders>
              <w:top w:val="dashed" w:sz="4" w:space="0" w:color="auto"/>
              <w:left w:val="nil"/>
              <w:bottom w:val="dashed" w:sz="4" w:space="0" w:color="auto"/>
              <w:right w:val="dashed" w:sz="4" w:space="0" w:color="auto"/>
            </w:tcBorders>
          </w:tcPr>
          <w:p w14:paraId="5B9C9DC4" w14:textId="1D715661" w:rsidR="00A9175D" w:rsidRDefault="00A9175D" w:rsidP="006D0185">
            <w:pPr>
              <w:jc w:val="left"/>
              <w:rPr>
                <w:rFonts w:eastAsia="仿宋_GB2312"/>
                <w:noProof/>
                <w:sz w:val="32"/>
                <w:szCs w:val="32"/>
              </w:rPr>
            </w:pPr>
            <w:r>
              <w:rPr>
                <w:rFonts w:eastAsia="仿宋_GB2312" w:hint="eastAsia"/>
                <w:noProof/>
                <w:szCs w:val="21"/>
              </w:rPr>
              <w:t>商场内景</w:t>
            </w:r>
          </w:p>
        </w:tc>
      </w:tr>
      <w:tr w:rsidR="00573F61" w:rsidRPr="00E01F5E" w14:paraId="7339BBAC" w14:textId="77777777" w:rsidTr="00A9175D">
        <w:tc>
          <w:tcPr>
            <w:tcW w:w="5373" w:type="dxa"/>
            <w:tcBorders>
              <w:top w:val="dashed" w:sz="4" w:space="0" w:color="auto"/>
              <w:left w:val="dashed" w:sz="4" w:space="0" w:color="auto"/>
              <w:bottom w:val="dashed" w:sz="4" w:space="0" w:color="auto"/>
              <w:right w:val="dashed" w:sz="4" w:space="0" w:color="auto"/>
            </w:tcBorders>
          </w:tcPr>
          <w:p w14:paraId="0A3C1BCC" w14:textId="77777777" w:rsidR="00573F61" w:rsidRPr="00E01F5E" w:rsidRDefault="00573F61" w:rsidP="006D0185">
            <w:pPr>
              <w:rPr>
                <w:rFonts w:eastAsia="仿宋_GB2312"/>
                <w:sz w:val="32"/>
                <w:szCs w:val="32"/>
              </w:rPr>
            </w:pPr>
            <w:r>
              <w:rPr>
                <w:rFonts w:eastAsia="仿宋_GB2312"/>
                <w:noProof/>
                <w:sz w:val="32"/>
                <w:szCs w:val="32"/>
              </w:rPr>
              <w:lastRenderedPageBreak/>
              <w:drawing>
                <wp:inline distT="0" distB="0" distL="0" distR="0" wp14:anchorId="7079CCA4" wp14:editId="0BACABD0">
                  <wp:extent cx="2493645" cy="1865630"/>
                  <wp:effectExtent l="0" t="0" r="1905"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93645" cy="1865630"/>
                          </a:xfrm>
                          <a:prstGeom prst="rect">
                            <a:avLst/>
                          </a:prstGeom>
                          <a:noFill/>
                        </pic:spPr>
                      </pic:pic>
                    </a:graphicData>
                  </a:graphic>
                </wp:inline>
              </w:drawing>
            </w:r>
          </w:p>
        </w:tc>
        <w:tc>
          <w:tcPr>
            <w:tcW w:w="2929" w:type="dxa"/>
            <w:tcBorders>
              <w:top w:val="dashed" w:sz="4" w:space="0" w:color="auto"/>
              <w:left w:val="nil"/>
              <w:bottom w:val="dashed" w:sz="4" w:space="0" w:color="auto"/>
              <w:right w:val="dashed" w:sz="4" w:space="0" w:color="auto"/>
            </w:tcBorders>
          </w:tcPr>
          <w:p w14:paraId="3F030DEB" w14:textId="77777777" w:rsidR="00573F61" w:rsidRPr="00E01F5E" w:rsidRDefault="00573F61" w:rsidP="006D0185">
            <w:pPr>
              <w:jc w:val="left"/>
              <w:rPr>
                <w:rFonts w:eastAsia="仿宋_GB2312"/>
                <w:sz w:val="32"/>
                <w:szCs w:val="32"/>
              </w:rPr>
            </w:pPr>
            <w:r>
              <w:rPr>
                <w:rFonts w:eastAsia="仿宋_GB2312"/>
                <w:noProof/>
                <w:sz w:val="32"/>
                <w:szCs w:val="32"/>
              </w:rPr>
              <w:drawing>
                <wp:inline distT="0" distB="0" distL="0" distR="0" wp14:anchorId="7A480454" wp14:editId="37DB0C71">
                  <wp:extent cx="2529840" cy="1896110"/>
                  <wp:effectExtent l="0" t="0" r="381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29840" cy="1896110"/>
                          </a:xfrm>
                          <a:prstGeom prst="rect">
                            <a:avLst/>
                          </a:prstGeom>
                          <a:noFill/>
                        </pic:spPr>
                      </pic:pic>
                    </a:graphicData>
                  </a:graphic>
                </wp:inline>
              </w:drawing>
            </w:r>
          </w:p>
        </w:tc>
      </w:tr>
    </w:tbl>
    <w:p w14:paraId="7AA1F695" w14:textId="30A97D2A" w:rsidR="00B00ED3" w:rsidRPr="00390F43" w:rsidRDefault="00B00ED3" w:rsidP="00B00ED3">
      <w:pPr>
        <w:pStyle w:val="ab"/>
        <w:widowControl/>
        <w:spacing w:line="360" w:lineRule="atLeast"/>
        <w:ind w:firstLineChars="200" w:firstLine="640"/>
        <w:rPr>
          <w:rFonts w:ascii="仿宋_GB2312" w:eastAsia="仿宋_GB2312" w:hAnsi="仿宋" w:cs="仿宋"/>
          <w:color w:val="000000"/>
          <w:sz w:val="32"/>
          <w:szCs w:val="32"/>
        </w:rPr>
      </w:pPr>
    </w:p>
    <w:p w14:paraId="22B02AFD" w14:textId="77777777" w:rsidR="00152FFE" w:rsidRPr="00152FFE" w:rsidRDefault="00152FFE" w:rsidP="00760CAB">
      <w:pPr>
        <w:rPr>
          <w:rFonts w:ascii="仿宋" w:eastAsia="仿宋" w:hAnsi="仿宋" w:cs="Times New Roman"/>
          <w:bCs/>
          <w:kern w:val="0"/>
          <w:sz w:val="28"/>
          <w:szCs w:val="32"/>
        </w:rPr>
      </w:pPr>
    </w:p>
    <w:p w14:paraId="2F815000" w14:textId="236FE269" w:rsidR="00EB1BCD" w:rsidRPr="00390F43" w:rsidRDefault="00EB1BCD" w:rsidP="00EB1BCD">
      <w:pPr>
        <w:pStyle w:val="ab"/>
        <w:widowControl/>
        <w:spacing w:line="360" w:lineRule="atLeast"/>
        <w:ind w:firstLine="803"/>
        <w:rPr>
          <w:rFonts w:ascii="仿宋_GB2312" w:eastAsia="仿宋_GB2312" w:hAnsi="仿宋" w:cs="仿宋"/>
          <w:sz w:val="32"/>
          <w:szCs w:val="32"/>
        </w:rPr>
      </w:pPr>
      <w:r w:rsidRPr="00390F43">
        <w:rPr>
          <w:rFonts w:ascii="仿宋_GB2312" w:eastAsia="仿宋_GB2312" w:hAnsi="仿宋" w:cs="仿宋" w:hint="eastAsia"/>
          <w:b/>
          <w:bCs/>
          <w:color w:val="000000"/>
          <w:sz w:val="32"/>
          <w:szCs w:val="32"/>
        </w:rPr>
        <w:t>注：</w:t>
      </w:r>
      <w:r w:rsidRPr="00390F43">
        <w:rPr>
          <w:rFonts w:ascii="仿宋_GB2312" w:eastAsia="仿宋_GB2312" w:hAnsi="仿宋" w:cs="仿宋" w:hint="eastAsia"/>
          <w:color w:val="000000"/>
          <w:sz w:val="32"/>
          <w:szCs w:val="32"/>
        </w:rPr>
        <w:t>1.本清单仅列示截至</w:t>
      </w:r>
      <w:r w:rsidR="00F612F5">
        <w:rPr>
          <w:rFonts w:ascii="仿宋_GB2312" w:eastAsia="仿宋_GB2312" w:hAnsi="仿宋" w:cs="仿宋" w:hint="eastAsia"/>
          <w:color w:val="000000"/>
          <w:sz w:val="28"/>
          <w:szCs w:val="28"/>
        </w:rPr>
        <w:t>【2</w:t>
      </w:r>
      <w:r w:rsidR="00F612F5">
        <w:rPr>
          <w:rFonts w:ascii="仿宋_GB2312" w:eastAsia="仿宋_GB2312" w:hAnsi="仿宋" w:cs="仿宋"/>
          <w:color w:val="000000"/>
          <w:sz w:val="28"/>
          <w:szCs w:val="28"/>
        </w:rPr>
        <w:t>025</w:t>
      </w:r>
      <w:r w:rsidR="00F612F5">
        <w:rPr>
          <w:rFonts w:ascii="仿宋_GB2312" w:eastAsia="仿宋_GB2312" w:hAnsi="仿宋" w:cs="仿宋" w:hint="eastAsia"/>
          <w:color w:val="000000"/>
          <w:sz w:val="28"/>
          <w:szCs w:val="28"/>
        </w:rPr>
        <w:t>】年【</w:t>
      </w:r>
      <w:r w:rsidR="00F612F5">
        <w:rPr>
          <w:rFonts w:ascii="仿宋_GB2312" w:eastAsia="仿宋_GB2312" w:hAnsi="仿宋" w:cs="仿宋"/>
          <w:color w:val="000000"/>
          <w:sz w:val="28"/>
          <w:szCs w:val="28"/>
        </w:rPr>
        <w:t>9</w:t>
      </w:r>
      <w:r w:rsidR="00F612F5">
        <w:rPr>
          <w:rFonts w:ascii="仿宋_GB2312" w:eastAsia="仿宋_GB2312" w:hAnsi="仿宋" w:cs="仿宋" w:hint="eastAsia"/>
          <w:color w:val="000000"/>
          <w:sz w:val="28"/>
          <w:szCs w:val="28"/>
        </w:rPr>
        <w:t>】月【</w:t>
      </w:r>
      <w:r w:rsidR="00F612F5">
        <w:rPr>
          <w:rFonts w:ascii="仿宋_GB2312" w:eastAsia="仿宋_GB2312" w:hAnsi="仿宋" w:cs="仿宋"/>
          <w:color w:val="000000"/>
          <w:sz w:val="28"/>
          <w:szCs w:val="28"/>
        </w:rPr>
        <w:t>30</w:t>
      </w:r>
      <w:r w:rsidR="00F612F5">
        <w:rPr>
          <w:rFonts w:ascii="仿宋_GB2312" w:eastAsia="仿宋_GB2312" w:hAnsi="仿宋" w:cs="仿宋" w:hint="eastAsia"/>
          <w:color w:val="000000"/>
          <w:sz w:val="28"/>
          <w:szCs w:val="28"/>
        </w:rPr>
        <w:t>】日</w:t>
      </w:r>
      <w:bookmarkStart w:id="5" w:name="_GoBack"/>
      <w:bookmarkEnd w:id="5"/>
      <w:r w:rsidRPr="00390F43">
        <w:rPr>
          <w:rFonts w:ascii="仿宋_GB2312" w:eastAsia="仿宋_GB2312" w:hAnsi="仿宋" w:cs="仿宋" w:hint="eastAsia"/>
          <w:color w:val="000000"/>
          <w:sz w:val="32"/>
          <w:szCs w:val="32"/>
        </w:rPr>
        <w:t>的债权本金，债务人和担保人应支付给我司的利息、罚息、复利、违约金及其它应付款，按借款合同、担保合同及中国人民银行的有关规定或生效法律文书确定的方法计算；</w:t>
      </w:r>
    </w:p>
    <w:p w14:paraId="0EE6D8AF" w14:textId="77777777" w:rsidR="00EB1BCD" w:rsidRPr="00390F43" w:rsidRDefault="00EB1BCD" w:rsidP="00EB1BCD">
      <w:pPr>
        <w:pStyle w:val="ab"/>
        <w:widowControl/>
        <w:spacing w:line="360" w:lineRule="atLeast"/>
        <w:ind w:firstLineChars="200" w:firstLine="64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2.若债务人、担保人因各种原因更名、改制、歇业、吊销营业执照或丧失民事主体资格的，请相关承债主体或主管部门代为履行义务或履行清算责任；</w:t>
      </w:r>
    </w:p>
    <w:p w14:paraId="49136C65" w14:textId="7E9D3E69" w:rsidR="00EB1BCD" w:rsidRPr="00390F43" w:rsidRDefault="00EB1BCD" w:rsidP="00EB1BCD">
      <w:pPr>
        <w:pStyle w:val="ab"/>
        <w:widowControl/>
        <w:spacing w:line="360" w:lineRule="atLeast"/>
        <w:ind w:firstLine="80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3.</w:t>
      </w:r>
      <w:r w:rsidR="00A44DA2" w:rsidRPr="00390F43">
        <w:rPr>
          <w:rFonts w:ascii="仿宋_GB2312" w:eastAsia="仿宋_GB2312" w:hAnsi="仿宋" w:cs="仿宋" w:hint="eastAsia"/>
          <w:color w:val="000000"/>
          <w:sz w:val="32"/>
          <w:szCs w:val="32"/>
        </w:rPr>
        <w:t>以上</w:t>
      </w:r>
      <w:r w:rsidRPr="00390F43">
        <w:rPr>
          <w:rFonts w:ascii="仿宋_GB2312" w:eastAsia="仿宋_GB2312" w:hAnsi="仿宋" w:cs="仿宋" w:hint="eastAsia"/>
          <w:color w:val="000000"/>
          <w:sz w:val="32"/>
          <w:szCs w:val="32"/>
        </w:rPr>
        <w:t>内容如有错漏，以债务人、担保人等原已签署的交易合同</w:t>
      </w:r>
      <w:r w:rsidRPr="00390F43">
        <w:rPr>
          <w:rFonts w:ascii="仿宋_GB2312" w:eastAsia="仿宋_GB2312" w:hAnsi="仿宋" w:cs="仿宋" w:hint="eastAsia"/>
          <w:sz w:val="32"/>
          <w:szCs w:val="32"/>
          <w:shd w:val="clear" w:color="auto" w:fill="FFFFFF"/>
          <w:lang w:bidi="ar"/>
        </w:rPr>
        <w:t>及/或生效法律文书等相关法律文件</w:t>
      </w:r>
      <w:r w:rsidRPr="00390F43">
        <w:rPr>
          <w:rFonts w:ascii="仿宋_GB2312" w:eastAsia="仿宋_GB2312" w:hAnsi="仿宋" w:cs="仿宋" w:hint="eastAsia"/>
          <w:color w:val="000000"/>
          <w:sz w:val="32"/>
          <w:szCs w:val="32"/>
        </w:rPr>
        <w:t>为准；</w:t>
      </w:r>
    </w:p>
    <w:p w14:paraId="136E10BA" w14:textId="3F2AE6ED" w:rsidR="00EB1BCD" w:rsidRPr="00390F43" w:rsidRDefault="00EB1BCD" w:rsidP="00EB1BCD">
      <w:pPr>
        <w:pStyle w:val="ab"/>
        <w:widowControl/>
        <w:spacing w:line="360" w:lineRule="atLeast"/>
        <w:ind w:firstLine="80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4</w:t>
      </w:r>
      <w:r w:rsidR="00D70205" w:rsidRPr="00390F43">
        <w:rPr>
          <w:rFonts w:ascii="仿宋_GB2312" w:eastAsia="仿宋_GB2312" w:hAnsi="仿宋" w:cs="仿宋" w:hint="eastAsia"/>
          <w:color w:val="000000"/>
          <w:sz w:val="32"/>
          <w:szCs w:val="32"/>
        </w:rPr>
        <w:t>.</w:t>
      </w:r>
      <w:r w:rsidRPr="00390F43">
        <w:rPr>
          <w:rFonts w:ascii="仿宋_GB2312" w:eastAsia="仿宋_GB2312" w:hAnsi="仿宋" w:cs="仿宋" w:hint="eastAsia"/>
          <w:color w:val="2B2B2B"/>
          <w:sz w:val="32"/>
          <w:szCs w:val="32"/>
          <w:shd w:val="clear" w:color="auto" w:fill="FFFFFF"/>
        </w:rPr>
        <w:t>资产</w:t>
      </w:r>
      <w:r w:rsidR="0050728C" w:rsidRPr="00390F43">
        <w:rPr>
          <w:rFonts w:ascii="仿宋_GB2312" w:eastAsia="仿宋_GB2312" w:hAnsi="仿宋" w:cs="仿宋" w:hint="eastAsia"/>
          <w:color w:val="2B2B2B"/>
          <w:sz w:val="32"/>
          <w:szCs w:val="32"/>
          <w:shd w:val="clear" w:color="auto" w:fill="FFFFFF"/>
        </w:rPr>
        <w:t>介绍</w:t>
      </w:r>
      <w:r w:rsidR="00531F97" w:rsidRPr="00390F43">
        <w:rPr>
          <w:rFonts w:ascii="仿宋_GB2312" w:eastAsia="仿宋_GB2312" w:hAnsi="仿宋" w:cs="仿宋" w:hint="eastAsia"/>
          <w:color w:val="2B2B2B"/>
          <w:sz w:val="32"/>
          <w:szCs w:val="32"/>
          <w:shd w:val="clear" w:color="auto" w:fill="FFFFFF"/>
        </w:rPr>
        <w:t>及照片</w:t>
      </w:r>
      <w:r w:rsidR="0050728C" w:rsidRPr="00390F43">
        <w:rPr>
          <w:rFonts w:ascii="仿宋_GB2312" w:eastAsia="仿宋_GB2312" w:hAnsi="仿宋" w:cs="仿宋" w:hint="eastAsia"/>
          <w:color w:val="2B2B2B"/>
          <w:sz w:val="32"/>
          <w:szCs w:val="32"/>
          <w:shd w:val="clear" w:color="auto" w:fill="FFFFFF"/>
        </w:rPr>
        <w:t>内容</w:t>
      </w:r>
      <w:r w:rsidRPr="00390F43">
        <w:rPr>
          <w:rFonts w:ascii="仿宋_GB2312" w:eastAsia="仿宋_GB2312" w:hAnsi="仿宋" w:cs="仿宋" w:hint="eastAsia"/>
          <w:color w:val="2B2B2B"/>
          <w:sz w:val="32"/>
          <w:szCs w:val="32"/>
          <w:shd w:val="clear" w:color="auto" w:fill="FFFFFF"/>
        </w:rPr>
        <w:t>仅供参考,我司不对其承担任何法律责任。</w:t>
      </w:r>
    </w:p>
    <w:p w14:paraId="46D68A38" w14:textId="77777777" w:rsidR="00EB1BCD" w:rsidRPr="00390F43" w:rsidRDefault="00EB1BCD" w:rsidP="00760CAB">
      <w:pPr>
        <w:rPr>
          <w:rFonts w:ascii="仿宋_GB2312" w:eastAsia="仿宋_GB2312" w:hAnsi="仿宋" w:cs="Times New Roman"/>
          <w:bCs/>
          <w:kern w:val="0"/>
          <w:sz w:val="32"/>
          <w:szCs w:val="32"/>
        </w:rPr>
      </w:pPr>
    </w:p>
    <w:sectPr w:rsidR="00EB1BCD" w:rsidRPr="00390F43"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DADF64" w14:textId="77777777" w:rsidR="008A1D6C" w:rsidRDefault="008A1D6C" w:rsidP="00E928AE">
      <w:r>
        <w:separator/>
      </w:r>
    </w:p>
  </w:endnote>
  <w:endnote w:type="continuationSeparator" w:id="0">
    <w:p w14:paraId="3FA93EB0" w14:textId="77777777" w:rsidR="008A1D6C" w:rsidRDefault="008A1D6C"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4D3E9C" w14:textId="77777777" w:rsidR="008A1D6C" w:rsidRDefault="008A1D6C" w:rsidP="00E928AE">
      <w:r>
        <w:separator/>
      </w:r>
    </w:p>
  </w:footnote>
  <w:footnote w:type="continuationSeparator" w:id="0">
    <w:p w14:paraId="6170D1D6" w14:textId="77777777" w:rsidR="008A1D6C" w:rsidRDefault="008A1D6C"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22AC"/>
    <w:rsid w:val="002450D8"/>
    <w:rsid w:val="00250FE2"/>
    <w:rsid w:val="002737E9"/>
    <w:rsid w:val="00282EA2"/>
    <w:rsid w:val="00287A31"/>
    <w:rsid w:val="00293519"/>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90F43"/>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73F61"/>
    <w:rsid w:val="00586D6C"/>
    <w:rsid w:val="005A4CDE"/>
    <w:rsid w:val="005D41E4"/>
    <w:rsid w:val="005E4B83"/>
    <w:rsid w:val="005E6E0E"/>
    <w:rsid w:val="005F4165"/>
    <w:rsid w:val="00601C0D"/>
    <w:rsid w:val="006122B1"/>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A1D6C"/>
    <w:rsid w:val="008C6424"/>
    <w:rsid w:val="008E0E64"/>
    <w:rsid w:val="009204F6"/>
    <w:rsid w:val="00951B13"/>
    <w:rsid w:val="00954055"/>
    <w:rsid w:val="00965DC6"/>
    <w:rsid w:val="00981CAD"/>
    <w:rsid w:val="00A44DA2"/>
    <w:rsid w:val="00A63A59"/>
    <w:rsid w:val="00A9175D"/>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CE0C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612F5"/>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B6CB98-1688-4E9E-882C-33C80CD96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3</Pages>
  <Words>148</Words>
  <Characters>844</Characters>
  <Application>Microsoft Office Word</Application>
  <DocSecurity>0</DocSecurity>
  <Lines>7</Lines>
  <Paragraphs>1</Paragraphs>
  <ScaleCrop>false</ScaleCrop>
  <Company/>
  <LinksUpToDate>false</LinksUpToDate>
  <CharactersWithSpaces>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cp:lastModifiedBy>
  <cp:revision>42</cp:revision>
  <cp:lastPrinted>2025-02-11T09:23:00Z</cp:lastPrinted>
  <dcterms:created xsi:type="dcterms:W3CDTF">2024-12-04T06:39:00Z</dcterms:created>
  <dcterms:modified xsi:type="dcterms:W3CDTF">2025-12-09T00:56:00Z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